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378d1_8k.htm"/>
      <w:bookmarkStart w:id="1" w:name="kstm262237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8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9_edei--EntityRegistrantName_c2026"/>
      <w:bookmarkEnd w:id="4"/>
      <w:r>
        <w:rPr>
          <w:rFonts w:ascii="Times New Roman;Times;Serif" w:hAnsi="Times New Roman;Times;Serif"/>
          <w:b/>
          <w:i w:val="false"/>
          <w:caps w:val="false"/>
          <w:smallCaps w:val="false"/>
          <w:sz w:val="48"/>
        </w:rPr>
        <w:t xml:space="preserve">FS CREDIT OPPORTUNITIES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2780"/>
        <w:gridCol w:w="60"/>
        <w:gridCol w:w="1445"/>
        <w:gridCol w:w="60"/>
        <w:gridCol w:w="1940"/>
      </w:tblGrid>
      <w:tr>
        <w:trPr/>
        <w:tc>
          <w:tcPr>
            <w:tcW w:w="2780"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Maryland</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0803"/>
            <w:bookmarkEnd w:id="6"/>
            <w:r>
              <w:rPr>
                <w:rFonts w:ascii="Times New Roman;Times;Serif" w:hAnsi="Times New Roman;Times;Serif"/>
                <w:b/>
                <w:sz w:val="20"/>
              </w:rPr>
              <w:t>811-22802</w:t>
            </w:r>
          </w:p>
        </w:tc>
        <w:tc>
          <w:tcPr>
            <w:tcW w:w="6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46-1882356</w:t>
            </w:r>
          </w:p>
        </w:tc>
      </w:tr>
      <w:tr>
        <w:trPr/>
        <w:tc>
          <w:tcPr>
            <w:tcW w:w="2780" w:type="dxa"/>
            <w:tcBorders/>
            <w:vAlign w:val="center"/>
          </w:tcPr>
          <w:p>
            <w:pPr>
              <w:pStyle w:val="TableContents"/>
              <w:bidi w:val="0"/>
              <w:spacing w:before="0" w:after="283"/>
              <w:jc w:val="center"/>
              <w:rPr/>
            </w:pPr>
            <w:r>
              <w:rPr>
                <w:b/>
              </w:rPr>
              <w:t>(State or other jurisdiction</w:t>
            </w:r>
            <w:r>
              <w:rPr/>
              <w:t xml:space="preserve"> </w:t>
            </w:r>
            <w:r>
              <w:rPr>
                <w:b/>
              </w:rPr>
              <w:br/>
              <w:t>of incorporation)</w:t>
            </w:r>
            <w:r>
              <w:rPr/>
              <w:t xml:space="preserve">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b/>
              </w:rPr>
              <w:t>(Commission</w:t>
            </w:r>
            <w:r>
              <w:rPr/>
              <w:t xml:space="preserve"> </w:t>
            </w:r>
            <w:r>
              <w:rPr>
                <w:b/>
              </w:rPr>
              <w:br/>
              <w:t>File Number)</w:t>
            </w:r>
            <w:r>
              <w:rPr/>
              <w:t xml:space="preserve"> </w:t>
            </w:r>
          </w:p>
        </w:tc>
        <w:tc>
          <w:tcPr>
            <w:tcW w:w="6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b/>
              </w:rPr>
              <w:t>(I.R.S. Employer</w:t>
              <w:br/>
              <w:t>Identification No.)</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283"/>
              <w:jc w:val="center"/>
              <w:rPr/>
            </w:pPr>
            <w:bookmarkStart w:id="8" w:name="xdx_900_edei--EntityAddressAddressLine1_"/>
            <w:bookmarkEnd w:id="8"/>
            <w:r>
              <w:rPr>
                <w:b/>
              </w:rPr>
              <w:t>3025 JFK Boulevard, OFC 500</w:t>
            </w:r>
            <w:r>
              <w:rPr/>
              <w:t xml:space="preserve"> </w:t>
            </w:r>
            <w:r>
              <w:rPr>
                <w:b/>
              </w:rPr>
              <w:br/>
            </w:r>
            <w:bookmarkStart w:id="9" w:name="xdx_909_edei--EntityAddressCityOrTown_c2"/>
            <w:bookmarkEnd w:id="9"/>
            <w:r>
              <w:rPr>
                <w:b/>
              </w:rPr>
              <w:t xml:space="preserve">Philadelphia, </w:t>
            </w:r>
            <w:bookmarkStart w:id="10" w:name="xdx_909_edei--EntityAddressStateOrProvin"/>
            <w:bookmarkEnd w:id="10"/>
            <w:r>
              <w:rPr>
                <w:b/>
              </w:rPr>
              <w:t>Pennsylvania</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1" w:name="xdx_901_edei--EntityAddressPostalZipCode"/>
            <w:bookmarkEnd w:id="11"/>
            <w:r>
              <w:rPr>
                <w:rFonts w:ascii="Times New Roman;Times;Serif" w:hAnsi="Times New Roman;Times;Serif"/>
                <w:b/>
                <w:sz w:val="20"/>
              </w:rPr>
              <w:t>19104</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6_edei--CityAreaCode_c20260803__20"/>
      <w:bookmarkEnd w:id="12"/>
      <w:r>
        <w:rPr>
          <w:rFonts w:ascii="Times New Roman;Times;Serif" w:hAnsi="Times New Roman;Times;Serif"/>
          <w:b/>
          <w:i w:val="false"/>
          <w:caps w:val="false"/>
          <w:smallCaps w:val="false"/>
          <w:sz w:val="20"/>
        </w:rPr>
        <w:t>215) </w:t>
      </w:r>
      <w:bookmarkStart w:id="13" w:name="xdx_909_edei--LocalPhoneNumber_c20260803"/>
      <w:bookmarkEnd w:id="13"/>
      <w:r>
        <w:rPr>
          <w:rFonts w:ascii="Times New Roman;Times;Serif" w:hAnsi="Times New Roman;Times;Serif"/>
          <w:b/>
          <w:i w:val="false"/>
          <w:caps w:val="false"/>
          <w:smallCaps w:val="false"/>
          <w:sz w:val="20"/>
        </w:rPr>
        <w:t xml:space="preserve">495-1150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230"/>
        <w:gridCol w:w="7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4" w:name="xdx_90B_edei--WrittenCommunications_c202"/>
            <w:bookmarkEnd w:id="14"/>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tbl>
      <w:tblPr>
        <w:tblW w:w="7675" w:type="dxa"/>
        <w:jc w:val="left"/>
        <w:tblInd w:w="0" w:type="dxa"/>
        <w:tblLayout w:type="fixed"/>
        <w:tblCellMar>
          <w:top w:w="0" w:type="dxa"/>
          <w:left w:w="0" w:type="dxa"/>
          <w:bottom w:w="0" w:type="dxa"/>
          <w:right w:w="0" w:type="dxa"/>
        </w:tblCellMar>
      </w:tblPr>
      <w:tblGrid>
        <w:gridCol w:w="75"/>
        <w:gridCol w:w="230"/>
        <w:gridCol w:w="73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1_edei--SolicitingMaterial_c202608"/>
            <w:bookmarkEnd w:id="15"/>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bl>
    <w:tbl>
      <w:tblPr>
        <w:tblW w:w="9415" w:type="dxa"/>
        <w:jc w:val="left"/>
        <w:tblInd w:w="0" w:type="dxa"/>
        <w:tblLayout w:type="fixed"/>
        <w:tblCellMar>
          <w:top w:w="0" w:type="dxa"/>
          <w:left w:w="0" w:type="dxa"/>
          <w:bottom w:w="0" w:type="dxa"/>
          <w:right w:w="0" w:type="dxa"/>
        </w:tblCellMar>
      </w:tblPr>
      <w:tblGrid>
        <w:gridCol w:w="75"/>
        <w:gridCol w:w="230"/>
        <w:gridCol w:w="91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D_edei--PreCommencementTenderOffer"/>
            <w:bookmarkEnd w:id="16"/>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bl>
    <w:tbl>
      <w:tblPr>
        <w:tblW w:w="9355" w:type="dxa"/>
        <w:jc w:val="left"/>
        <w:tblInd w:w="0" w:type="dxa"/>
        <w:tblLayout w:type="fixed"/>
        <w:tblCellMar>
          <w:top w:w="0" w:type="dxa"/>
          <w:left w:w="0" w:type="dxa"/>
          <w:bottom w:w="0" w:type="dxa"/>
          <w:right w:w="0" w:type="dxa"/>
        </w:tblCellMar>
      </w:tblPr>
      <w:tblGrid>
        <w:gridCol w:w="75"/>
        <w:gridCol w:w="230"/>
        <w:gridCol w:w="90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5_edei--PreCommencementIssuerTende"/>
            <w:bookmarkEnd w:id="17"/>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15" w:type="dxa"/>
        <w:jc w:val="left"/>
        <w:tblInd w:w="0" w:type="dxa"/>
        <w:shd w:fill="FFFFFF" w:val="clear"/>
        <w:tblLayout w:type="fixed"/>
        <w:tblCellMar>
          <w:top w:w="0" w:type="dxa"/>
          <w:left w:w="0" w:type="dxa"/>
          <w:bottom w:w="28" w:type="dxa"/>
          <w:right w:w="0" w:type="dxa"/>
        </w:tblCellMar>
      </w:tblPr>
      <w:tblGrid>
        <w:gridCol w:w="3515"/>
        <w:gridCol w:w="60"/>
        <w:gridCol w:w="860"/>
        <w:gridCol w:w="60"/>
        <w:gridCol w:w="2420"/>
      </w:tblGrid>
      <w:tr>
        <w:trPr/>
        <w:tc>
          <w:tcPr>
            <w:tcW w:w="3515"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Trading </w:t>
              <w:br/>
              <w:t>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20" w:type="dxa"/>
            <w:tcBorders>
              <w:bottom w:val="single" w:sz="8" w:space="0" w:color="000000"/>
            </w:tcBorders>
            <w:shd w:fill="FFFFFF" w:val="clear"/>
            <w:vAlign w:val="center"/>
          </w:tcPr>
          <w:p>
            <w:pPr>
              <w:pStyle w:val="TableContents"/>
              <w:bidi w:val="0"/>
              <w:spacing w:before="0" w:after="283"/>
              <w:jc w:val="center"/>
              <w:rPr/>
            </w:pPr>
            <w:r>
              <w:rPr>
                <w:b/>
              </w:rPr>
              <w:t>Name of each exchange</w:t>
              <w:br/>
              <w:t>on which registered</w:t>
            </w:r>
            <w:r>
              <w:rPr/>
              <w:t xml:space="preserve"> </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C_edei--Security12bTitle_c20260803"/>
            <w:bookmarkEnd w:id="18"/>
            <w:r>
              <w:rPr>
                <w:rFonts w:ascii="Times New Roman;Times;Serif" w:hAnsi="Times New Roman;Times;Serif"/>
                <w:sz w:val="20"/>
              </w:rPr>
              <w:t>Common Stock, $0.001 par value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3_edei--TradingSymbol_c20260803__2"/>
            <w:bookmarkEnd w:id="19"/>
            <w:r>
              <w:rPr>
                <w:rFonts w:ascii="Times New Roman;Times;Serif" w:hAnsi="Times New Roman;Times;Serif"/>
                <w:sz w:val="20"/>
              </w:rPr>
              <w:t>FSCO</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A_edei--SecurityExchangeName_c2026"/>
            <w:bookmarkEnd w:id="2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875"/>
        <w:gridCol w:w="447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5.07.</w:t>
            </w:r>
          </w:p>
        </w:tc>
        <w:tc>
          <w:tcPr>
            <w:tcW w:w="44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Submission of Matters to a Vote of Security Holders.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 Credit Opportunities Corp. (the “Company”) held its Annual Meeting of Stockholders (the “Annual Meeting”) on August 3, 2026. As of June 8, 2026, the record date (the “Record Date”) for the determination of stockholders entitled to notice of, and to vote at, the Annual Meeting, 2</w:t>
      </w:r>
      <w:r>
        <w:rPr>
          <w:rFonts w:ascii="Times New Roman;Times;Serif" w:hAnsi="Times New Roman;Times;Serif"/>
          <w:b w:val="false"/>
          <w:i w:val="false"/>
          <w:caps w:val="false"/>
          <w:smallCaps w:val="false"/>
          <w:sz w:val="20"/>
          <w:shd w:fill="FFFFFF" w:val="clear"/>
        </w:rPr>
        <w:t>02,269,645</w:t>
      </w:r>
      <w:r>
        <w:rPr>
          <w:rFonts w:ascii="Times New Roman;Times;Serif" w:hAnsi="Times New Roman;Times;Serif"/>
          <w:b w:val="false"/>
          <w:i w:val="false"/>
          <w:caps w:val="false"/>
          <w:smallCaps w:val="false"/>
          <w:sz w:val="20"/>
        </w:rPr>
        <w:t xml:space="preserve"> shares of the Company’s common stock (“common stock”) and 400,000 shares of the Company’s preferred stock (“preferred stock” and, together with the common stock, the “Shares”) were eligible to be voted in person or by proxy. Of the eligible Shares to be voted, 141,060,592 were voted in person or by proxy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were asked to consider and act upon the following proposal, which was described in the Company’s definitive proxy statement filed with the Securities and Exchange Commission on June 9,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sz w:val="20"/>
              </w:rPr>
            </w:pPr>
            <w:r>
              <w:rPr>
                <w:sz w:val="20"/>
              </w:rPr>
              <w:t>Proposal No. 1 - to elect the following individuals as Class I Directors, each of whom have been nominated for election for a three-year term expiring at the 2029 Annual Meeting of Stockholders: (a) Walter W. Buckley, III and (b) Barbara J. Fouss (the “Director Election Proposal”).</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Walter W. Buckley, III was elected by the Company’s stockholders at the Annual Meeting. The votes for, votes against, votes withheld and broker non-votes for Walter W. Buckley, III are set forth below:</w:t>
      </w:r>
    </w:p>
    <w:p>
      <w:pPr>
        <w:pStyle w:val="TextBody"/>
        <w:bidi w:val="0"/>
        <w:spacing w:before="0" w:after="0"/>
        <w:ind w:left="0" w:right="0" w:hanging="0"/>
        <w:jc w:val="left"/>
        <w:rPr>
          <w:caps w:val="false"/>
          <w:smallCaps w:val="false"/>
        </w:rPr>
      </w:pPr>
      <w:r>
        <w:rPr>
          <w:caps w:val="false"/>
          <w:smallCaps w:val="false"/>
        </w:rPr>
        <w:t> </w:t>
      </w:r>
    </w:p>
    <w:tbl>
      <w:tblPr>
        <w:tblW w:w="7027" w:type="dxa"/>
        <w:jc w:val="left"/>
        <w:tblInd w:w="0" w:type="dxa"/>
        <w:tblLayout w:type="fixed"/>
        <w:tblCellMar>
          <w:top w:w="0" w:type="dxa"/>
          <w:left w:w="0" w:type="dxa"/>
          <w:bottom w:w="28" w:type="dxa"/>
          <w:right w:w="0" w:type="dxa"/>
        </w:tblCellMar>
      </w:tblPr>
      <w:tblGrid>
        <w:gridCol w:w="1850"/>
        <w:gridCol w:w="60"/>
        <w:gridCol w:w="60"/>
        <w:gridCol w:w="1055"/>
        <w:gridCol w:w="60"/>
        <w:gridCol w:w="60"/>
        <w:gridCol w:w="69"/>
        <w:gridCol w:w="1105"/>
        <w:gridCol w:w="60"/>
        <w:gridCol w:w="60"/>
        <w:gridCol w:w="86"/>
        <w:gridCol w:w="1223"/>
        <w:gridCol w:w="60"/>
        <w:gridCol w:w="60"/>
        <w:gridCol w:w="350"/>
        <w:gridCol w:w="734"/>
        <w:gridCol w:w="75"/>
      </w:tblGrid>
      <w:tr>
        <w:trPr/>
        <w:tc>
          <w:tcPr>
            <w:tcW w:w="18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Withheld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w:t>
              <w:br/>
              <w:t>Votes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shd w:fill="CCEEFF" w:val="clear"/>
            <w:tcMar>
              <w:bottom w:w="0" w:type="dxa"/>
            </w:tcMar>
            <w:vAlign w:val="center"/>
          </w:tcPr>
          <w:p>
            <w:pPr>
              <w:pStyle w:val="TableContents"/>
              <w:bidi w:val="0"/>
              <w:spacing w:before="0" w:after="283"/>
              <w:jc w:val="center"/>
              <w:rPr>
                <w:sz w:val="20"/>
              </w:rPr>
            </w:pPr>
            <w:r>
              <w:rPr>
                <w:sz w:val="20"/>
              </w:rPr>
              <w:t>Walter W. Buckley, III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123,713,305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right"/>
              <w:rPr>
                <w:sz w:val="20"/>
              </w:rPr>
            </w:pPr>
            <w:r>
              <w:rPr>
                <w:sz w:val="20"/>
              </w:rPr>
              <w:t>15,799,813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223" w:type="dxa"/>
            <w:tcBorders/>
            <w:shd w:fill="CCEEFF" w:val="clear"/>
            <w:tcMar>
              <w:bottom w:w="0" w:type="dxa"/>
            </w:tcMar>
            <w:vAlign w:val="center"/>
          </w:tcPr>
          <w:p>
            <w:pPr>
              <w:pStyle w:val="TableContents"/>
              <w:bidi w:val="0"/>
              <w:spacing w:before="0" w:after="283"/>
              <w:jc w:val="right"/>
              <w:rPr>
                <w:sz w:val="20"/>
              </w:rPr>
            </w:pPr>
            <w:r>
              <w:rPr>
                <w:sz w:val="20"/>
              </w:rPr>
              <w:t>1,547,474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sz w:val="20"/>
              </w:rPr>
            </w:pPr>
            <w:r>
              <w:rPr>
                <w:sz w:val="20"/>
              </w:rPr>
              <w:t>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election of Barbara J. Fouss, the Annual Meeting was adjourned because a quorum of the holders of the Company’s preferred stock was not present in person or by proxy to transact business at the Annual Meeting.  The Annual Meeting has been adjourned to September 8, 2026 at 11:00 am Eastern Time, at 3025 JFK Boulevard, OFC 500, Philadelphia, PA 19104, to consider and vote upon the Director Election Proposal with respect to Barbara J. Fouss described in the notice of meeting that was sent to each stockholder of record as of the close of business on 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1760"/>
        <w:gridCol w:w="320"/>
        <w:gridCol w:w="2345"/>
      </w:tblGrid>
      <w:tr>
        <w:trPr/>
        <w:tc>
          <w:tcPr>
            <w:tcW w:w="176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Credit Opportunities Corp.</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pPr>
            <w:r>
              <w:rPr/>
              <w:t>/s/ Stephen Sypherd</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Sypherd</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 and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701</Words>
  <Characters>3709</Characters>
  <CharactersWithSpaces>4446</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