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8305d5_defa14a.htm"/>
      <w:bookmarkStart w:id="1" w:name="kstm2618305d5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245"/>
        <w:gridCol w:w="6755"/>
      </w:tblGrid>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860" w:type="dxa"/>
        <w:jc w:val="left"/>
        <w:tblInd w:w="0" w:type="dxa"/>
        <w:tblLayout w:type="fixed"/>
        <w:tblCellMar>
          <w:top w:w="0" w:type="dxa"/>
          <w:left w:w="0" w:type="dxa"/>
          <w:bottom w:w="0" w:type="dxa"/>
          <w:right w:w="0" w:type="dxa"/>
        </w:tblCellMar>
      </w:tblPr>
      <w:tblGrid>
        <w:gridCol w:w="6495"/>
        <w:gridCol w:w="365"/>
      </w:tblGrid>
      <w:tr>
        <w:trPr/>
        <w:tc>
          <w:tcPr>
            <w:tcW w:w="6495" w:type="dxa"/>
            <w:tcBorders/>
            <w:vAlign w:val="center"/>
          </w:tcPr>
          <w:p>
            <w:pPr>
              <w:pStyle w:val="TableContents"/>
              <w:bidi w:val="0"/>
              <w:spacing w:before="0" w:after="283"/>
              <w:jc w:val="center"/>
              <w:rPr/>
            </w:pPr>
            <w:r>
              <w:rPr/>
              <w:drawing>
                <wp:inline distT="0" distB="0" distL="0" distR="0">
                  <wp:extent cx="4114800" cy="2660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2660650"/>
                          </a:xfrm>
                          <a:prstGeom prst="rect">
                            <a:avLst/>
                          </a:prstGeom>
                        </pic:spPr>
                      </pic:pic>
                    </a:graphicData>
                  </a:graphic>
                </wp:inline>
              </w:drawing>
            </w:r>
          </w:p>
        </w:tc>
        <w:tc>
          <w:tcPr>
            <w:tcW w:w="365" w:type="dxa"/>
            <w:tcBorders/>
            <w:vAlign w:val="center"/>
          </w:tcPr>
          <w:p>
            <w:pPr>
              <w:pStyle w:val="TableContents"/>
              <w:bidi w:val="0"/>
              <w:spacing w:before="0" w:after="283"/>
              <w:jc w:val="both"/>
              <w:rPr>
                <w:color w:val="FFFFFF"/>
                <w:sz w:val="2"/>
              </w:rPr>
            </w:pPr>
            <w:r>
              <w:rPr>
                <w:color w:val="FFFFFF"/>
                <w:sz w:val="2"/>
              </w:rPr>
              <w:t>FS CREDIT OPPORTUNITIES CORP.</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3710"/>
      </w:tblGrid>
      <w:tr>
        <w:trPr/>
        <w:tc>
          <w:tcPr>
            <w:tcW w:w="6495" w:type="dxa"/>
            <w:tcBorders/>
            <w:vAlign w:val="center"/>
          </w:tcPr>
          <w:p>
            <w:pPr>
              <w:pStyle w:val="TableContents"/>
              <w:bidi w:val="0"/>
              <w:spacing w:before="0" w:after="283"/>
              <w:jc w:val="center"/>
              <w:rPr/>
            </w:pPr>
            <w:r>
              <w:rPr/>
              <w:drawing>
                <wp:inline distT="0" distB="0" distL="0" distR="0">
                  <wp:extent cx="4114800" cy="2660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14800" cy="2660650"/>
                          </a:xfrm>
                          <a:prstGeom prst="rect">
                            <a:avLst/>
                          </a:prstGeom>
                        </pic:spPr>
                      </pic:pic>
                    </a:graphicData>
                  </a:graphic>
                </wp:inline>
              </w:drawing>
            </w:r>
          </w:p>
        </w:tc>
        <w:tc>
          <w:tcPr>
            <w:tcW w:w="3710" w:type="dxa"/>
            <w:tcBorders/>
            <w:vAlign w:val="center"/>
          </w:tcPr>
          <w:p>
            <w:pPr>
              <w:pStyle w:val="TableContents"/>
              <w:bidi w:val="0"/>
              <w:spacing w:before="0" w:after="283"/>
              <w:jc w:val="both"/>
              <w:rPr>
                <w:color w:val="FFFFFF"/>
                <w:sz w:val="2"/>
              </w:rPr>
            </w:pPr>
            <w:r>
              <w:rPr>
                <w:color w:val="FFFFFF"/>
                <w:sz w:val="2"/>
              </w:rPr>
              <w:t>Why am I receiving this Notice of Internet Availability? — The Securities and Exchange Commission (SEC) permits companies to send the enclosed notice instead of a full printed set of proxy materials. The Notice provides instructions on how to view your company’s proxy materials, vote online and request a full set of printed materials by mail. — There are several advantages to your company sending a Notice instead of a full set of materials, including lowering your company’s costs and reducing the environmental impact from printing and mailing full sets of proxy materials. How do I view the proxy materials online? — Go to www.proxyvote.com and enter your control number to get started. Your control number can be found on the enclosed Notice. What if I prefer to receive a paper copy of the proxy materials? — You can easily request a paper copy, which will be mailed to you at no cost. Instructions on how to do so can be found in the Get informed before you vote section of the Notice. Can I receive proxy materials for future meetings by email rather than receive a Notice? — Yes you can. Go to www.proxyvote.com and select “Email” in the Delivery Settings section. FREQUENTLY ASKED QUESTIONS For more information about the SEC’s Notice and Access Proxy Rules, please visit: www.sec.gov/spotlight/proxymatters/e-proxy.shtml.</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361</Words>
  <Characters>1933</Characters>
  <CharactersWithSpaces>2300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